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EF" w:rsidRPr="003F77C1" w:rsidRDefault="00097AEF" w:rsidP="00097AEF">
      <w:pPr>
        <w:pStyle w:val="Header"/>
        <w:rPr>
          <w:rFonts w:ascii="Arial" w:hAnsi="Arial" w:cs="Arial"/>
        </w:rPr>
      </w:pPr>
      <w:bookmarkStart w:id="0" w:name="_GoBack"/>
      <w:bookmarkEnd w:id="0"/>
      <w:r w:rsidRPr="003F77C1">
        <w:rPr>
          <w:rFonts w:ascii="Arial" w:hAnsi="Arial" w:cs="Arial"/>
          <w:sz w:val="36"/>
          <w:szCs w:val="36"/>
        </w:rPr>
        <w:ptab w:relativeTo="margin" w:alignment="center" w:leader="none"/>
      </w:r>
      <w:r w:rsidR="00023437" w:rsidRPr="00A25897">
        <w:rPr>
          <w:rFonts w:ascii="Arial" w:hAnsi="Arial" w:cs="Arial"/>
          <w:sz w:val="32"/>
          <w:szCs w:val="32"/>
        </w:rPr>
        <w:t xml:space="preserve">Initiating the </w:t>
      </w:r>
      <w:r w:rsidR="00416D10">
        <w:rPr>
          <w:rFonts w:ascii="Arial" w:hAnsi="Arial" w:cs="Arial"/>
          <w:sz w:val="32"/>
          <w:szCs w:val="32"/>
        </w:rPr>
        <w:t xml:space="preserve">AIX </w:t>
      </w:r>
      <w:r w:rsidR="00023437" w:rsidRPr="00A25897">
        <w:rPr>
          <w:rFonts w:ascii="Arial" w:hAnsi="Arial" w:cs="Arial"/>
          <w:sz w:val="32"/>
          <w:szCs w:val="32"/>
        </w:rPr>
        <w:t>UNIX Decom P</w:t>
      </w:r>
      <w:r w:rsidRPr="00A25897">
        <w:rPr>
          <w:rFonts w:ascii="Arial" w:hAnsi="Arial" w:cs="Arial"/>
          <w:sz w:val="32"/>
          <w:szCs w:val="32"/>
        </w:rPr>
        <w:t>rocess</w:t>
      </w:r>
    </w:p>
    <w:p w:rsidR="00097AEF" w:rsidRPr="003F77C1" w:rsidRDefault="00097AEF" w:rsidP="003F77C1">
      <w:pPr>
        <w:spacing w:after="0" w:line="240" w:lineRule="auto"/>
        <w:rPr>
          <w:rFonts w:ascii="Arial" w:hAnsi="Arial" w:cs="Arial"/>
        </w:rPr>
      </w:pPr>
    </w:p>
    <w:p w:rsidR="00955430" w:rsidRPr="00033E83" w:rsidRDefault="00A12C7D" w:rsidP="003F77C1">
      <w:pPr>
        <w:spacing w:after="0" w:line="240" w:lineRule="auto"/>
        <w:rPr>
          <w:rFonts w:ascii="Arial" w:hAnsi="Arial" w:cs="Arial"/>
          <w:sz w:val="24"/>
          <w:szCs w:val="24"/>
        </w:rPr>
      </w:pPr>
      <w:r w:rsidRPr="00033E83">
        <w:rPr>
          <w:rFonts w:ascii="Arial" w:hAnsi="Arial" w:cs="Arial"/>
          <w:sz w:val="24"/>
          <w:szCs w:val="24"/>
        </w:rPr>
        <w:t>The final step of the</w:t>
      </w:r>
      <w:r w:rsidR="00B07075" w:rsidRPr="00033E83">
        <w:rPr>
          <w:rFonts w:ascii="Arial" w:hAnsi="Arial" w:cs="Arial"/>
          <w:sz w:val="24"/>
          <w:szCs w:val="24"/>
        </w:rPr>
        <w:t xml:space="preserve"> </w:t>
      </w:r>
      <w:r w:rsidR="00955430" w:rsidRPr="00033E83">
        <w:rPr>
          <w:rFonts w:ascii="Arial" w:hAnsi="Arial" w:cs="Arial"/>
          <w:sz w:val="24"/>
          <w:szCs w:val="24"/>
        </w:rPr>
        <w:t>Tech</w:t>
      </w:r>
      <w:r w:rsidR="00B05AFC" w:rsidRPr="00033E83">
        <w:rPr>
          <w:rFonts w:ascii="Arial" w:hAnsi="Arial" w:cs="Arial"/>
          <w:sz w:val="24"/>
          <w:szCs w:val="24"/>
        </w:rPr>
        <w:t>n</w:t>
      </w:r>
      <w:r w:rsidR="00340B00" w:rsidRPr="00033E83">
        <w:rPr>
          <w:rFonts w:ascii="Arial" w:hAnsi="Arial" w:cs="Arial"/>
          <w:sz w:val="24"/>
          <w:szCs w:val="24"/>
        </w:rPr>
        <w:t xml:space="preserve">ology </w:t>
      </w:r>
      <w:r w:rsidR="00955430" w:rsidRPr="00033E83">
        <w:rPr>
          <w:rFonts w:ascii="Arial" w:hAnsi="Arial" w:cs="Arial"/>
          <w:sz w:val="24"/>
          <w:szCs w:val="24"/>
        </w:rPr>
        <w:t xml:space="preserve"> Refresh</w:t>
      </w:r>
      <w:r w:rsidRPr="00033E83">
        <w:rPr>
          <w:rFonts w:ascii="Arial" w:hAnsi="Arial" w:cs="Arial"/>
          <w:sz w:val="24"/>
          <w:szCs w:val="24"/>
        </w:rPr>
        <w:t xml:space="preserve"> process</w:t>
      </w:r>
      <w:r w:rsidR="00955430" w:rsidRPr="00033E83">
        <w:rPr>
          <w:rFonts w:ascii="Arial" w:hAnsi="Arial" w:cs="Arial"/>
          <w:sz w:val="24"/>
          <w:szCs w:val="24"/>
        </w:rPr>
        <w:t>,</w:t>
      </w:r>
      <w:r w:rsidR="00BD0AF8" w:rsidRPr="00033E83">
        <w:rPr>
          <w:rFonts w:ascii="Arial" w:hAnsi="Arial" w:cs="Arial"/>
          <w:sz w:val="24"/>
          <w:szCs w:val="24"/>
        </w:rPr>
        <w:t xml:space="preserve"> after building a new serv</w:t>
      </w:r>
      <w:r w:rsidR="00340B00" w:rsidRPr="00033E83">
        <w:rPr>
          <w:rFonts w:ascii="Arial" w:hAnsi="Arial" w:cs="Arial"/>
          <w:sz w:val="24"/>
          <w:szCs w:val="24"/>
        </w:rPr>
        <w:t>er and migrating the applicatio</w:t>
      </w:r>
      <w:r w:rsidR="00BD0AF8" w:rsidRPr="00033E83">
        <w:rPr>
          <w:rFonts w:ascii="Arial" w:hAnsi="Arial" w:cs="Arial"/>
          <w:sz w:val="24"/>
          <w:szCs w:val="24"/>
        </w:rPr>
        <w:t xml:space="preserve">ns, </w:t>
      </w:r>
      <w:r w:rsidR="00955430" w:rsidRPr="00033E83">
        <w:rPr>
          <w:rFonts w:ascii="Arial" w:hAnsi="Arial" w:cs="Arial"/>
          <w:sz w:val="24"/>
          <w:szCs w:val="24"/>
        </w:rPr>
        <w:t xml:space="preserve"> </w:t>
      </w:r>
      <w:r w:rsidRPr="00033E83">
        <w:rPr>
          <w:rFonts w:ascii="Arial" w:hAnsi="Arial" w:cs="Arial"/>
          <w:sz w:val="24"/>
          <w:szCs w:val="24"/>
        </w:rPr>
        <w:t>is to submit</w:t>
      </w:r>
      <w:r w:rsidR="00B07075" w:rsidRPr="00033E83">
        <w:rPr>
          <w:rFonts w:ascii="Arial" w:hAnsi="Arial" w:cs="Arial"/>
          <w:sz w:val="24"/>
          <w:szCs w:val="24"/>
        </w:rPr>
        <w:t xml:space="preserve"> the replaced server </w:t>
      </w:r>
      <w:r w:rsidR="009577B0" w:rsidRPr="00033E83">
        <w:rPr>
          <w:rFonts w:ascii="Arial" w:hAnsi="Arial" w:cs="Arial"/>
          <w:sz w:val="24"/>
          <w:szCs w:val="24"/>
        </w:rPr>
        <w:t>and if applicable, also the</w:t>
      </w:r>
      <w:r w:rsidR="00B07075" w:rsidRPr="00033E83">
        <w:rPr>
          <w:rFonts w:ascii="Arial" w:hAnsi="Arial" w:cs="Arial"/>
          <w:sz w:val="24"/>
          <w:szCs w:val="24"/>
        </w:rPr>
        <w:t xml:space="preserve"> frame through the decommissioning process. </w:t>
      </w:r>
    </w:p>
    <w:p w:rsidR="003F77C1" w:rsidRPr="00033E83" w:rsidRDefault="003F77C1" w:rsidP="003F77C1">
      <w:pPr>
        <w:spacing w:after="0" w:line="240" w:lineRule="auto"/>
        <w:rPr>
          <w:rFonts w:ascii="Arial" w:hAnsi="Arial" w:cs="Arial"/>
          <w:sz w:val="24"/>
          <w:szCs w:val="24"/>
        </w:rPr>
      </w:pPr>
    </w:p>
    <w:p w:rsidR="00955430" w:rsidRPr="00033E83" w:rsidRDefault="00B05AFC" w:rsidP="003F77C1">
      <w:pPr>
        <w:spacing w:after="0" w:line="240" w:lineRule="auto"/>
        <w:rPr>
          <w:rFonts w:ascii="Arial" w:hAnsi="Arial" w:cs="Arial"/>
          <w:sz w:val="24"/>
          <w:szCs w:val="24"/>
        </w:rPr>
      </w:pPr>
      <w:r w:rsidRPr="00033E83">
        <w:rPr>
          <w:rFonts w:ascii="Arial" w:hAnsi="Arial" w:cs="Arial"/>
          <w:sz w:val="24"/>
          <w:szCs w:val="24"/>
        </w:rPr>
        <w:t>Here are the steps required and the information you will need to provide when you submit a server or frame for decommission.</w:t>
      </w:r>
    </w:p>
    <w:p w:rsidR="00955430" w:rsidRPr="00033E83" w:rsidRDefault="00955430" w:rsidP="009408FA">
      <w:pPr>
        <w:pStyle w:val="ListParagraph"/>
        <w:numPr>
          <w:ilvl w:val="0"/>
          <w:numId w:val="1"/>
        </w:numPr>
        <w:spacing w:after="100" w:afterAutospacing="1"/>
        <w:contextualSpacing w:val="0"/>
        <w:rPr>
          <w:rFonts w:ascii="Arial" w:hAnsi="Arial" w:cs="Arial"/>
          <w:sz w:val="24"/>
          <w:szCs w:val="24"/>
        </w:rPr>
      </w:pPr>
      <w:r w:rsidRPr="00033E83">
        <w:rPr>
          <w:rFonts w:ascii="Arial" w:hAnsi="Arial" w:cs="Arial"/>
          <w:sz w:val="24"/>
          <w:szCs w:val="24"/>
        </w:rPr>
        <w:t>Discovery</w:t>
      </w:r>
    </w:p>
    <w:p w:rsidR="007501B3" w:rsidRPr="00033E83" w:rsidRDefault="00B05AFC" w:rsidP="002E6E2A">
      <w:pPr>
        <w:pStyle w:val="ListParagraph"/>
        <w:numPr>
          <w:ilvl w:val="1"/>
          <w:numId w:val="1"/>
        </w:numPr>
        <w:spacing w:after="120" w:line="240" w:lineRule="auto"/>
        <w:ind w:left="1080"/>
        <w:contextualSpacing w:val="0"/>
        <w:rPr>
          <w:rFonts w:ascii="Arial" w:hAnsi="Arial" w:cs="Arial"/>
          <w:sz w:val="24"/>
          <w:szCs w:val="24"/>
        </w:rPr>
      </w:pPr>
      <w:r w:rsidRPr="00033E83">
        <w:rPr>
          <w:rFonts w:ascii="Arial" w:hAnsi="Arial" w:cs="Arial"/>
          <w:sz w:val="24"/>
          <w:szCs w:val="24"/>
        </w:rPr>
        <w:t>Identify servers that are no longer in use. This may be through the discovery process, or may be servers that you have migrated</w:t>
      </w:r>
      <w:r w:rsidR="00A12C7D" w:rsidRPr="00033E83">
        <w:rPr>
          <w:rFonts w:ascii="Arial" w:hAnsi="Arial" w:cs="Arial"/>
          <w:sz w:val="24"/>
          <w:szCs w:val="24"/>
        </w:rPr>
        <w:t xml:space="preserve"> or built a new replacement for,</w:t>
      </w:r>
      <w:r w:rsidRPr="00033E83">
        <w:rPr>
          <w:rFonts w:ascii="Arial" w:hAnsi="Arial" w:cs="Arial"/>
          <w:sz w:val="24"/>
          <w:szCs w:val="24"/>
        </w:rPr>
        <w:t xml:space="preserve"> and the source server is no longer in use.</w:t>
      </w:r>
    </w:p>
    <w:p w:rsidR="00955430" w:rsidRPr="00033E83" w:rsidRDefault="00955430" w:rsidP="009408FA">
      <w:pPr>
        <w:pStyle w:val="ListParagraph"/>
        <w:numPr>
          <w:ilvl w:val="0"/>
          <w:numId w:val="1"/>
        </w:numPr>
        <w:spacing w:after="0" w:line="240" w:lineRule="auto"/>
        <w:contextualSpacing w:val="0"/>
        <w:rPr>
          <w:rFonts w:ascii="Arial" w:hAnsi="Arial" w:cs="Arial"/>
          <w:sz w:val="24"/>
          <w:szCs w:val="24"/>
        </w:rPr>
      </w:pPr>
      <w:r w:rsidRPr="00033E83">
        <w:rPr>
          <w:rFonts w:ascii="Arial" w:hAnsi="Arial" w:cs="Arial"/>
          <w:sz w:val="24"/>
          <w:szCs w:val="24"/>
        </w:rPr>
        <w:t>Getting approval</w:t>
      </w:r>
    </w:p>
    <w:p w:rsidR="00A12C7D" w:rsidRPr="00033E83" w:rsidRDefault="00A12C7D" w:rsidP="009408FA">
      <w:pPr>
        <w:pStyle w:val="ListParagraph"/>
        <w:numPr>
          <w:ilvl w:val="1"/>
          <w:numId w:val="1"/>
        </w:numPr>
        <w:spacing w:after="0" w:line="240" w:lineRule="auto"/>
        <w:ind w:left="1080"/>
        <w:contextualSpacing w:val="0"/>
        <w:rPr>
          <w:rFonts w:ascii="Arial" w:hAnsi="Arial" w:cs="Arial"/>
          <w:sz w:val="24"/>
          <w:szCs w:val="24"/>
        </w:rPr>
      </w:pPr>
      <w:r w:rsidRPr="00033E83">
        <w:rPr>
          <w:rFonts w:ascii="Arial" w:hAnsi="Arial" w:cs="Arial"/>
          <w:sz w:val="24"/>
          <w:szCs w:val="24"/>
        </w:rPr>
        <w:t>Identify the owner of the server, this is someone who has knowledge of the server, can confirm it is no longer in use, and can provide approval, via email, that we can initiate the decom</w:t>
      </w:r>
      <w:r w:rsidR="00C730F4" w:rsidRPr="00033E83">
        <w:rPr>
          <w:rFonts w:ascii="Arial" w:hAnsi="Arial" w:cs="Arial"/>
          <w:sz w:val="24"/>
          <w:szCs w:val="24"/>
        </w:rPr>
        <w:t>mission</w:t>
      </w:r>
      <w:r w:rsidRPr="00033E83">
        <w:rPr>
          <w:rFonts w:ascii="Arial" w:hAnsi="Arial" w:cs="Arial"/>
          <w:sz w:val="24"/>
          <w:szCs w:val="24"/>
        </w:rPr>
        <w:t xml:space="preserve"> process.</w:t>
      </w:r>
    </w:p>
    <w:p w:rsidR="007501B3" w:rsidRPr="00033E83" w:rsidRDefault="00A12C7D" w:rsidP="002E6E2A">
      <w:pPr>
        <w:pStyle w:val="ListParagraph"/>
        <w:numPr>
          <w:ilvl w:val="1"/>
          <w:numId w:val="1"/>
        </w:numPr>
        <w:spacing w:after="120" w:line="240" w:lineRule="auto"/>
        <w:ind w:left="1080"/>
        <w:contextualSpacing w:val="0"/>
        <w:rPr>
          <w:rFonts w:ascii="Arial" w:hAnsi="Arial" w:cs="Arial"/>
          <w:sz w:val="24"/>
          <w:szCs w:val="24"/>
        </w:rPr>
      </w:pPr>
      <w:r w:rsidRPr="00033E83">
        <w:rPr>
          <w:rFonts w:ascii="Arial" w:hAnsi="Arial" w:cs="Arial"/>
          <w:sz w:val="24"/>
          <w:szCs w:val="24"/>
        </w:rPr>
        <w:t xml:space="preserve">Print the email </w:t>
      </w:r>
      <w:r w:rsidR="007B6304">
        <w:rPr>
          <w:rFonts w:ascii="Arial" w:hAnsi="Arial" w:cs="Arial"/>
          <w:sz w:val="24"/>
          <w:szCs w:val="24"/>
        </w:rPr>
        <w:t xml:space="preserve">and </w:t>
      </w:r>
      <w:r w:rsidRPr="00033E83">
        <w:rPr>
          <w:rFonts w:ascii="Arial" w:hAnsi="Arial" w:cs="Arial"/>
          <w:sz w:val="24"/>
          <w:szCs w:val="24"/>
        </w:rPr>
        <w:t xml:space="preserve">attach this in the </w:t>
      </w:r>
      <w:r w:rsidR="000F1626">
        <w:rPr>
          <w:rFonts w:ascii="Arial" w:hAnsi="Arial" w:cs="Arial"/>
          <w:sz w:val="24"/>
          <w:szCs w:val="24"/>
        </w:rPr>
        <w:t>ITSM</w:t>
      </w:r>
      <w:r w:rsidRPr="00033E83">
        <w:rPr>
          <w:rFonts w:ascii="Arial" w:hAnsi="Arial" w:cs="Arial"/>
          <w:sz w:val="24"/>
          <w:szCs w:val="24"/>
        </w:rPr>
        <w:t xml:space="preserve"> ticket later.</w:t>
      </w:r>
    </w:p>
    <w:p w:rsidR="00955430" w:rsidRPr="00033E83" w:rsidRDefault="00955430" w:rsidP="009408FA">
      <w:pPr>
        <w:pStyle w:val="ListParagraph"/>
        <w:numPr>
          <w:ilvl w:val="0"/>
          <w:numId w:val="1"/>
        </w:numPr>
        <w:spacing w:after="0" w:line="240" w:lineRule="auto"/>
        <w:contextualSpacing w:val="0"/>
        <w:rPr>
          <w:rFonts w:ascii="Arial" w:hAnsi="Arial" w:cs="Arial"/>
          <w:sz w:val="24"/>
          <w:szCs w:val="24"/>
        </w:rPr>
      </w:pPr>
      <w:r w:rsidRPr="00033E83">
        <w:rPr>
          <w:rFonts w:ascii="Arial" w:hAnsi="Arial" w:cs="Arial"/>
          <w:sz w:val="24"/>
          <w:szCs w:val="24"/>
        </w:rPr>
        <w:t xml:space="preserve">Completing the </w:t>
      </w:r>
      <w:r w:rsidR="00A12C7D" w:rsidRPr="00033E83">
        <w:rPr>
          <w:rFonts w:ascii="Arial" w:hAnsi="Arial" w:cs="Arial"/>
          <w:sz w:val="24"/>
          <w:szCs w:val="24"/>
        </w:rPr>
        <w:t xml:space="preserve">decommission </w:t>
      </w:r>
      <w:r w:rsidRPr="00033E83">
        <w:rPr>
          <w:rFonts w:ascii="Arial" w:hAnsi="Arial" w:cs="Arial"/>
          <w:sz w:val="24"/>
          <w:szCs w:val="24"/>
        </w:rPr>
        <w:t>form</w:t>
      </w:r>
    </w:p>
    <w:p w:rsidR="007B6304" w:rsidRDefault="001C7EC0" w:rsidP="009408FA">
      <w:pPr>
        <w:pStyle w:val="ListParagraph"/>
        <w:numPr>
          <w:ilvl w:val="0"/>
          <w:numId w:val="4"/>
        </w:numPr>
        <w:spacing w:after="100" w:afterAutospacing="1" w:line="240" w:lineRule="auto"/>
        <w:contextualSpacing w:val="0"/>
        <w:rPr>
          <w:rFonts w:ascii="Arial" w:hAnsi="Arial" w:cs="Arial"/>
          <w:sz w:val="24"/>
          <w:szCs w:val="24"/>
        </w:rPr>
      </w:pPr>
      <w:r w:rsidRPr="007B6304">
        <w:rPr>
          <w:rFonts w:ascii="Arial" w:hAnsi="Arial" w:cs="Arial"/>
          <w:sz w:val="24"/>
          <w:szCs w:val="24"/>
        </w:rPr>
        <w:t>Find the server name in Asset Manager</w:t>
      </w:r>
    </w:p>
    <w:p w:rsidR="00B07075" w:rsidRPr="007B6304" w:rsidRDefault="001C7EC0" w:rsidP="009408FA">
      <w:pPr>
        <w:pStyle w:val="ListParagraph"/>
        <w:numPr>
          <w:ilvl w:val="0"/>
          <w:numId w:val="4"/>
        </w:numPr>
        <w:spacing w:after="100" w:afterAutospacing="1" w:line="240" w:lineRule="auto"/>
        <w:contextualSpacing w:val="0"/>
        <w:rPr>
          <w:rFonts w:ascii="Arial" w:hAnsi="Arial" w:cs="Arial"/>
          <w:sz w:val="24"/>
          <w:szCs w:val="24"/>
        </w:rPr>
      </w:pPr>
      <w:r w:rsidRPr="007B6304">
        <w:rPr>
          <w:rFonts w:ascii="Arial" w:hAnsi="Arial" w:cs="Arial"/>
          <w:sz w:val="24"/>
          <w:szCs w:val="24"/>
        </w:rPr>
        <w:t xml:space="preserve">Identify the serial number of the </w:t>
      </w:r>
      <w:r w:rsidR="00416D10">
        <w:rPr>
          <w:rFonts w:ascii="Arial" w:hAnsi="Arial" w:cs="Arial"/>
          <w:sz w:val="24"/>
          <w:szCs w:val="24"/>
        </w:rPr>
        <w:t xml:space="preserve">AIX </w:t>
      </w:r>
      <w:r w:rsidRPr="007B6304">
        <w:rPr>
          <w:rFonts w:ascii="Arial" w:hAnsi="Arial" w:cs="Arial"/>
          <w:sz w:val="24"/>
          <w:szCs w:val="24"/>
        </w:rPr>
        <w:t>frame it is on</w:t>
      </w:r>
    </w:p>
    <w:p w:rsidR="00B07075" w:rsidRPr="00033E83" w:rsidRDefault="001C7EC0" w:rsidP="009408FA">
      <w:pPr>
        <w:pStyle w:val="ListParagraph"/>
        <w:numPr>
          <w:ilvl w:val="0"/>
          <w:numId w:val="4"/>
        </w:numPr>
        <w:spacing w:after="100" w:afterAutospacing="1" w:line="240" w:lineRule="auto"/>
        <w:contextualSpacing w:val="0"/>
        <w:rPr>
          <w:rFonts w:ascii="Arial" w:hAnsi="Arial" w:cs="Arial"/>
          <w:sz w:val="24"/>
          <w:szCs w:val="24"/>
        </w:rPr>
      </w:pPr>
      <w:r w:rsidRPr="00033E83">
        <w:rPr>
          <w:rFonts w:ascii="Arial" w:hAnsi="Arial" w:cs="Arial"/>
          <w:sz w:val="24"/>
          <w:szCs w:val="24"/>
        </w:rPr>
        <w:t>Identify the location of the frame</w:t>
      </w:r>
    </w:p>
    <w:p w:rsidR="00B07075" w:rsidRPr="00033E83" w:rsidRDefault="00B07075" w:rsidP="009408FA">
      <w:pPr>
        <w:pStyle w:val="ListParagraph"/>
        <w:numPr>
          <w:ilvl w:val="0"/>
          <w:numId w:val="4"/>
        </w:numPr>
        <w:spacing w:after="100" w:afterAutospacing="1" w:line="240" w:lineRule="auto"/>
        <w:contextualSpacing w:val="0"/>
        <w:rPr>
          <w:rFonts w:ascii="Arial" w:hAnsi="Arial" w:cs="Arial"/>
          <w:sz w:val="24"/>
          <w:szCs w:val="24"/>
        </w:rPr>
      </w:pPr>
      <w:r w:rsidRPr="00033E83">
        <w:rPr>
          <w:rFonts w:ascii="Arial" w:hAnsi="Arial" w:cs="Arial"/>
          <w:sz w:val="24"/>
          <w:szCs w:val="24"/>
        </w:rPr>
        <w:t>IP addresses</w:t>
      </w:r>
    </w:p>
    <w:p w:rsidR="001C7EC0" w:rsidRPr="00033E83" w:rsidRDefault="001C7EC0" w:rsidP="00274464">
      <w:pPr>
        <w:pStyle w:val="ListParagraph"/>
        <w:numPr>
          <w:ilvl w:val="1"/>
          <w:numId w:val="4"/>
        </w:numPr>
        <w:spacing w:after="100" w:afterAutospacing="1" w:line="240" w:lineRule="auto"/>
        <w:ind w:left="1440"/>
        <w:contextualSpacing w:val="0"/>
        <w:rPr>
          <w:rFonts w:ascii="Arial" w:hAnsi="Arial" w:cs="Arial"/>
          <w:sz w:val="24"/>
          <w:szCs w:val="24"/>
        </w:rPr>
      </w:pPr>
      <w:r w:rsidRPr="00033E83">
        <w:rPr>
          <w:rFonts w:ascii="Arial" w:hAnsi="Arial" w:cs="Arial"/>
          <w:sz w:val="24"/>
          <w:szCs w:val="24"/>
        </w:rPr>
        <w:t>Each server normally has at least 2 DNS entries</w:t>
      </w:r>
    </w:p>
    <w:p w:rsidR="001C7EC0" w:rsidRPr="00033E83" w:rsidRDefault="001C7EC0" w:rsidP="009408FA">
      <w:pPr>
        <w:pStyle w:val="ListParagraph"/>
        <w:numPr>
          <w:ilvl w:val="1"/>
          <w:numId w:val="4"/>
        </w:numPr>
        <w:spacing w:after="100" w:afterAutospacing="1" w:line="240" w:lineRule="auto"/>
        <w:ind w:left="1440"/>
        <w:contextualSpacing w:val="0"/>
        <w:rPr>
          <w:rFonts w:ascii="Arial" w:hAnsi="Arial" w:cs="Arial"/>
          <w:sz w:val="24"/>
          <w:szCs w:val="24"/>
        </w:rPr>
      </w:pPr>
      <w:r w:rsidRPr="00033E83">
        <w:rPr>
          <w:rFonts w:ascii="Arial" w:hAnsi="Arial" w:cs="Arial"/>
          <w:sz w:val="24"/>
          <w:szCs w:val="24"/>
        </w:rPr>
        <w:t>Transactional (hostname + IP)</w:t>
      </w:r>
    </w:p>
    <w:p w:rsidR="001C7EC0" w:rsidRPr="00033E83" w:rsidRDefault="001C7EC0" w:rsidP="009408FA">
      <w:pPr>
        <w:pStyle w:val="ListParagraph"/>
        <w:numPr>
          <w:ilvl w:val="1"/>
          <w:numId w:val="4"/>
        </w:numPr>
        <w:spacing w:after="100" w:afterAutospacing="1" w:line="240" w:lineRule="auto"/>
        <w:ind w:left="1440"/>
        <w:contextualSpacing w:val="0"/>
        <w:rPr>
          <w:rFonts w:ascii="Arial" w:hAnsi="Arial" w:cs="Arial"/>
          <w:sz w:val="24"/>
          <w:szCs w:val="24"/>
        </w:rPr>
      </w:pPr>
      <w:r w:rsidRPr="00033E83">
        <w:rPr>
          <w:rFonts w:ascii="Arial" w:hAnsi="Arial" w:cs="Arial"/>
          <w:sz w:val="24"/>
          <w:szCs w:val="24"/>
        </w:rPr>
        <w:t xml:space="preserve">Service IP (identified by “e”), for TSM backup, </w:t>
      </w:r>
      <w:r w:rsidR="009577B0" w:rsidRPr="00033E83">
        <w:rPr>
          <w:rFonts w:ascii="Arial" w:hAnsi="Arial" w:cs="Arial"/>
          <w:sz w:val="24"/>
          <w:szCs w:val="24"/>
        </w:rPr>
        <w:t xml:space="preserve">a </w:t>
      </w:r>
      <w:r w:rsidRPr="00033E83">
        <w:rPr>
          <w:rFonts w:ascii="Arial" w:hAnsi="Arial" w:cs="Arial"/>
          <w:sz w:val="24"/>
          <w:szCs w:val="24"/>
        </w:rPr>
        <w:t>variant of the hostname + IP)</w:t>
      </w:r>
    </w:p>
    <w:p w:rsidR="001C7EC0" w:rsidRPr="00033E83" w:rsidRDefault="001C7EC0" w:rsidP="009577B0">
      <w:pPr>
        <w:pStyle w:val="ListParagraph"/>
        <w:numPr>
          <w:ilvl w:val="2"/>
          <w:numId w:val="4"/>
        </w:numPr>
        <w:spacing w:after="100" w:afterAutospacing="1" w:line="240" w:lineRule="auto"/>
        <w:ind w:left="1980"/>
        <w:contextualSpacing w:val="0"/>
        <w:rPr>
          <w:rFonts w:ascii="Arial" w:hAnsi="Arial" w:cs="Arial"/>
          <w:sz w:val="24"/>
          <w:szCs w:val="24"/>
        </w:rPr>
      </w:pPr>
      <w:r w:rsidRPr="00033E83">
        <w:rPr>
          <w:rFonts w:ascii="Arial" w:hAnsi="Arial" w:cs="Arial"/>
          <w:sz w:val="24"/>
          <w:szCs w:val="24"/>
        </w:rPr>
        <w:t xml:space="preserve">Old naming convention: </w:t>
      </w:r>
      <w:r w:rsidR="00274464" w:rsidRPr="00033E83">
        <w:rPr>
          <w:rFonts w:ascii="Arial" w:hAnsi="Arial" w:cs="Arial"/>
          <w:sz w:val="24"/>
          <w:szCs w:val="24"/>
        </w:rPr>
        <w:t xml:space="preserve">example, </w:t>
      </w:r>
      <w:r w:rsidR="00D72F95" w:rsidRPr="00033E83">
        <w:rPr>
          <w:rFonts w:ascii="Arial" w:hAnsi="Arial" w:cs="Arial"/>
          <w:sz w:val="24"/>
          <w:szCs w:val="24"/>
        </w:rPr>
        <w:t>Hst-Name</w:t>
      </w:r>
      <w:r w:rsidR="00274464" w:rsidRPr="00033E83">
        <w:rPr>
          <w:rFonts w:ascii="Arial" w:hAnsi="Arial" w:cs="Arial"/>
          <w:sz w:val="24"/>
          <w:szCs w:val="24"/>
        </w:rPr>
        <w:t>XXXX, l</w:t>
      </w:r>
      <w:r w:rsidRPr="00033E83">
        <w:rPr>
          <w:rFonts w:ascii="Arial" w:hAnsi="Arial" w:cs="Arial"/>
          <w:sz w:val="24"/>
          <w:szCs w:val="24"/>
        </w:rPr>
        <w:t xml:space="preserve">ook for </w:t>
      </w:r>
      <w:r w:rsidR="00D72F95" w:rsidRPr="00033E83">
        <w:rPr>
          <w:rFonts w:ascii="Arial" w:hAnsi="Arial" w:cs="Arial"/>
          <w:sz w:val="24"/>
          <w:szCs w:val="24"/>
        </w:rPr>
        <w:t>Hst-Name</w:t>
      </w:r>
      <w:r w:rsidRPr="00033E83">
        <w:rPr>
          <w:rFonts w:ascii="Arial" w:hAnsi="Arial" w:cs="Arial"/>
          <w:sz w:val="24"/>
          <w:szCs w:val="24"/>
        </w:rPr>
        <w:t>XXXX</w:t>
      </w:r>
    </w:p>
    <w:p w:rsidR="001C7EC0" w:rsidRPr="00033E83" w:rsidRDefault="001C7EC0" w:rsidP="009577B0">
      <w:pPr>
        <w:pStyle w:val="ListParagraph"/>
        <w:numPr>
          <w:ilvl w:val="2"/>
          <w:numId w:val="4"/>
        </w:numPr>
        <w:spacing w:after="100" w:afterAutospacing="1" w:line="240" w:lineRule="auto"/>
        <w:ind w:left="1980"/>
        <w:contextualSpacing w:val="0"/>
        <w:rPr>
          <w:rFonts w:ascii="Arial" w:hAnsi="Arial" w:cs="Arial"/>
          <w:sz w:val="24"/>
          <w:szCs w:val="24"/>
        </w:rPr>
      </w:pPr>
      <w:r w:rsidRPr="00033E83">
        <w:rPr>
          <w:rFonts w:ascii="Arial" w:hAnsi="Arial" w:cs="Arial"/>
          <w:sz w:val="24"/>
          <w:szCs w:val="24"/>
        </w:rPr>
        <w:t xml:space="preserve">New naming convention: example, </w:t>
      </w:r>
      <w:r w:rsidR="00D72F95" w:rsidRPr="00033E83">
        <w:rPr>
          <w:rFonts w:ascii="Arial" w:hAnsi="Arial" w:cs="Arial"/>
          <w:sz w:val="24"/>
          <w:szCs w:val="24"/>
        </w:rPr>
        <w:t>Hst-Name</w:t>
      </w:r>
      <w:r w:rsidR="00274464" w:rsidRPr="00033E83">
        <w:rPr>
          <w:rFonts w:ascii="Arial" w:hAnsi="Arial" w:cs="Arial"/>
          <w:sz w:val="24"/>
          <w:szCs w:val="24"/>
        </w:rPr>
        <w:t>ap3</w:t>
      </w:r>
      <w:r w:rsidRPr="00033E83">
        <w:rPr>
          <w:rFonts w:ascii="Arial" w:hAnsi="Arial" w:cs="Arial"/>
          <w:sz w:val="24"/>
          <w:szCs w:val="24"/>
        </w:rPr>
        <w:t xml:space="preserve">, look for </w:t>
      </w:r>
      <w:r w:rsidR="00D72F95" w:rsidRPr="00033E83">
        <w:rPr>
          <w:rFonts w:ascii="Arial" w:hAnsi="Arial" w:cs="Arial"/>
          <w:sz w:val="24"/>
          <w:szCs w:val="24"/>
        </w:rPr>
        <w:t>Hst-Name</w:t>
      </w:r>
      <w:r w:rsidRPr="00033E83">
        <w:rPr>
          <w:rFonts w:ascii="Arial" w:hAnsi="Arial" w:cs="Arial"/>
          <w:sz w:val="24"/>
          <w:szCs w:val="24"/>
        </w:rPr>
        <w:t>ap3e</w:t>
      </w:r>
    </w:p>
    <w:p w:rsidR="00A12C7D" w:rsidRPr="00033E83" w:rsidRDefault="00A12C7D" w:rsidP="009408FA">
      <w:pPr>
        <w:pStyle w:val="ListParagraph"/>
        <w:numPr>
          <w:ilvl w:val="1"/>
          <w:numId w:val="4"/>
        </w:numPr>
        <w:spacing w:after="100" w:afterAutospacing="1" w:line="240" w:lineRule="auto"/>
        <w:ind w:left="1440"/>
        <w:contextualSpacing w:val="0"/>
        <w:rPr>
          <w:rFonts w:ascii="Arial" w:hAnsi="Arial" w:cs="Arial"/>
          <w:sz w:val="24"/>
          <w:szCs w:val="24"/>
        </w:rPr>
      </w:pPr>
      <w:r w:rsidRPr="00033E83">
        <w:rPr>
          <w:rFonts w:ascii="Arial" w:hAnsi="Arial" w:cs="Arial"/>
          <w:sz w:val="24"/>
          <w:szCs w:val="24"/>
        </w:rPr>
        <w:t>If the server is part of a cluster, you will submit all servers in the cluster for decom</w:t>
      </w:r>
    </w:p>
    <w:p w:rsidR="00A12C7D" w:rsidRPr="00033E83" w:rsidRDefault="00A12C7D" w:rsidP="002E6E2A">
      <w:pPr>
        <w:pStyle w:val="ListParagraph"/>
        <w:numPr>
          <w:ilvl w:val="1"/>
          <w:numId w:val="4"/>
        </w:numPr>
        <w:spacing w:after="120" w:line="240" w:lineRule="auto"/>
        <w:ind w:left="1440"/>
        <w:contextualSpacing w:val="0"/>
        <w:rPr>
          <w:rFonts w:ascii="Arial" w:hAnsi="Arial" w:cs="Arial"/>
          <w:sz w:val="24"/>
          <w:szCs w:val="24"/>
        </w:rPr>
      </w:pPr>
      <w:r w:rsidRPr="00033E83">
        <w:rPr>
          <w:rFonts w:ascii="Arial" w:hAnsi="Arial" w:cs="Arial"/>
          <w:sz w:val="24"/>
          <w:szCs w:val="24"/>
        </w:rPr>
        <w:t>If the server is part of a cluster, there are additional DNS entries that need to be provided on the decommission form</w:t>
      </w:r>
      <w:r w:rsidR="0052537F" w:rsidRPr="00033E83">
        <w:rPr>
          <w:rFonts w:ascii="Arial" w:hAnsi="Arial" w:cs="Arial"/>
          <w:sz w:val="24"/>
          <w:szCs w:val="24"/>
        </w:rPr>
        <w:t xml:space="preserve">. </w:t>
      </w:r>
    </w:p>
    <w:p w:rsidR="00955430" w:rsidRPr="00033E83" w:rsidRDefault="00955430" w:rsidP="00156526">
      <w:pPr>
        <w:pStyle w:val="ListParagraph"/>
        <w:numPr>
          <w:ilvl w:val="0"/>
          <w:numId w:val="1"/>
        </w:numPr>
        <w:spacing w:after="0" w:line="240" w:lineRule="auto"/>
        <w:rPr>
          <w:rFonts w:ascii="Arial" w:hAnsi="Arial" w:cs="Arial"/>
          <w:sz w:val="24"/>
          <w:szCs w:val="24"/>
        </w:rPr>
      </w:pPr>
      <w:r w:rsidRPr="00033E83">
        <w:rPr>
          <w:rFonts w:ascii="Arial" w:hAnsi="Arial" w:cs="Arial"/>
          <w:sz w:val="24"/>
          <w:szCs w:val="24"/>
        </w:rPr>
        <w:t xml:space="preserve">Submitting the </w:t>
      </w:r>
      <w:r w:rsidR="000F1626">
        <w:rPr>
          <w:rFonts w:ascii="Arial" w:hAnsi="Arial" w:cs="Arial"/>
          <w:sz w:val="24"/>
          <w:szCs w:val="24"/>
        </w:rPr>
        <w:t>ITSM</w:t>
      </w:r>
      <w:r w:rsidRPr="00033E83">
        <w:rPr>
          <w:rFonts w:ascii="Arial" w:hAnsi="Arial" w:cs="Arial"/>
          <w:sz w:val="24"/>
          <w:szCs w:val="24"/>
        </w:rPr>
        <w:t xml:space="preserve"> ticket</w:t>
      </w:r>
    </w:p>
    <w:p w:rsidR="00B07075" w:rsidRPr="00033E83" w:rsidRDefault="00156526" w:rsidP="00156526">
      <w:pPr>
        <w:pStyle w:val="ListParagraph"/>
        <w:numPr>
          <w:ilvl w:val="0"/>
          <w:numId w:val="5"/>
        </w:numPr>
        <w:spacing w:after="120" w:line="240" w:lineRule="auto"/>
        <w:rPr>
          <w:rFonts w:ascii="Arial" w:hAnsi="Arial" w:cs="Arial"/>
          <w:sz w:val="24"/>
          <w:szCs w:val="24"/>
        </w:rPr>
      </w:pPr>
      <w:r w:rsidRPr="00033E83">
        <w:rPr>
          <w:rFonts w:ascii="Arial" w:hAnsi="Arial" w:cs="Arial"/>
          <w:sz w:val="24"/>
          <w:szCs w:val="24"/>
        </w:rPr>
        <w:t xml:space="preserve">On the Classification tab, use the following for </w:t>
      </w:r>
      <w:r w:rsidR="00B07075" w:rsidRPr="00033E83">
        <w:rPr>
          <w:rFonts w:ascii="Arial" w:hAnsi="Arial" w:cs="Arial"/>
          <w:sz w:val="24"/>
          <w:szCs w:val="24"/>
        </w:rPr>
        <w:t>Product Categorization</w:t>
      </w:r>
      <w:r w:rsidRPr="00033E83">
        <w:rPr>
          <w:rFonts w:ascii="Arial" w:hAnsi="Arial" w:cs="Arial"/>
          <w:sz w:val="24"/>
          <w:szCs w:val="24"/>
        </w:rPr>
        <w:t>:</w:t>
      </w:r>
    </w:p>
    <w:p w:rsidR="00156526" w:rsidRPr="00033E83" w:rsidRDefault="00156526" w:rsidP="00156526">
      <w:pPr>
        <w:pStyle w:val="ListParagraph"/>
        <w:numPr>
          <w:ilvl w:val="1"/>
          <w:numId w:val="5"/>
        </w:numPr>
        <w:spacing w:after="0" w:line="240" w:lineRule="auto"/>
        <w:ind w:left="1440"/>
        <w:rPr>
          <w:rFonts w:ascii="Arial" w:hAnsi="Arial" w:cs="Arial"/>
          <w:sz w:val="24"/>
          <w:szCs w:val="24"/>
        </w:rPr>
      </w:pPr>
      <w:r w:rsidRPr="00033E83">
        <w:rPr>
          <w:rFonts w:ascii="Arial" w:hAnsi="Arial" w:cs="Arial"/>
          <w:sz w:val="24"/>
          <w:szCs w:val="24"/>
        </w:rPr>
        <w:t>Tier 1: Services</w:t>
      </w:r>
    </w:p>
    <w:p w:rsidR="00156526" w:rsidRPr="00033E83" w:rsidRDefault="00156526" w:rsidP="00156526">
      <w:pPr>
        <w:pStyle w:val="ListParagraph"/>
        <w:numPr>
          <w:ilvl w:val="1"/>
          <w:numId w:val="5"/>
        </w:numPr>
        <w:spacing w:after="0" w:line="240" w:lineRule="auto"/>
        <w:ind w:left="1440"/>
        <w:rPr>
          <w:rFonts w:ascii="Arial" w:hAnsi="Arial" w:cs="Arial"/>
          <w:sz w:val="24"/>
          <w:szCs w:val="24"/>
        </w:rPr>
      </w:pPr>
      <w:r w:rsidRPr="00033E83">
        <w:rPr>
          <w:rFonts w:ascii="Arial" w:hAnsi="Arial" w:cs="Arial"/>
          <w:sz w:val="24"/>
          <w:szCs w:val="24"/>
        </w:rPr>
        <w:t>Tier 2: Infrastructure</w:t>
      </w:r>
    </w:p>
    <w:p w:rsidR="00156526" w:rsidRPr="00033E83" w:rsidRDefault="00156526" w:rsidP="00156526">
      <w:pPr>
        <w:pStyle w:val="ListParagraph"/>
        <w:numPr>
          <w:ilvl w:val="1"/>
          <w:numId w:val="5"/>
        </w:numPr>
        <w:spacing w:after="0" w:line="240" w:lineRule="auto"/>
        <w:ind w:left="1440"/>
        <w:rPr>
          <w:rFonts w:ascii="Arial" w:hAnsi="Arial" w:cs="Arial"/>
          <w:sz w:val="24"/>
          <w:szCs w:val="24"/>
        </w:rPr>
      </w:pPr>
      <w:r w:rsidRPr="00033E83">
        <w:rPr>
          <w:rFonts w:ascii="Arial" w:hAnsi="Arial" w:cs="Arial"/>
          <w:sz w:val="24"/>
          <w:szCs w:val="24"/>
        </w:rPr>
        <w:t xml:space="preserve">Tier 3: </w:t>
      </w:r>
      <w:r w:rsidR="005F718D" w:rsidRPr="00033E83">
        <w:rPr>
          <w:rFonts w:ascii="Arial" w:hAnsi="Arial" w:cs="Arial"/>
          <w:sz w:val="24"/>
          <w:szCs w:val="24"/>
        </w:rPr>
        <w:t>CSE</w:t>
      </w:r>
    </w:p>
    <w:p w:rsidR="00156526" w:rsidRPr="00033E83" w:rsidRDefault="00156526" w:rsidP="00156526">
      <w:pPr>
        <w:pStyle w:val="ListParagraph"/>
        <w:numPr>
          <w:ilvl w:val="1"/>
          <w:numId w:val="5"/>
        </w:numPr>
        <w:spacing w:after="0" w:line="240" w:lineRule="auto"/>
        <w:ind w:left="1440"/>
        <w:rPr>
          <w:rFonts w:ascii="Arial" w:hAnsi="Arial" w:cs="Arial"/>
          <w:sz w:val="24"/>
          <w:szCs w:val="24"/>
        </w:rPr>
      </w:pPr>
      <w:r w:rsidRPr="00033E83">
        <w:rPr>
          <w:rFonts w:ascii="Arial" w:hAnsi="Arial" w:cs="Arial"/>
          <w:sz w:val="24"/>
          <w:szCs w:val="24"/>
        </w:rPr>
        <w:t>Tier 4: Device Decommission – Unix</w:t>
      </w:r>
    </w:p>
    <w:p w:rsidR="00156526" w:rsidRPr="00033E83" w:rsidRDefault="000F1626" w:rsidP="00156526">
      <w:pPr>
        <w:pStyle w:val="ListParagraph"/>
        <w:numPr>
          <w:ilvl w:val="0"/>
          <w:numId w:val="5"/>
        </w:numPr>
        <w:spacing w:after="100" w:afterAutospacing="1" w:line="240" w:lineRule="auto"/>
        <w:rPr>
          <w:rFonts w:ascii="Arial" w:hAnsi="Arial" w:cs="Arial"/>
          <w:sz w:val="24"/>
          <w:szCs w:val="24"/>
        </w:rPr>
      </w:pPr>
      <w:r>
        <w:rPr>
          <w:rFonts w:ascii="Arial" w:hAnsi="Arial" w:cs="Arial"/>
          <w:sz w:val="24"/>
          <w:szCs w:val="24"/>
        </w:rPr>
        <w:t>ITSM</w:t>
      </w:r>
      <w:r w:rsidR="005F718D" w:rsidRPr="00033E83">
        <w:rPr>
          <w:rFonts w:ascii="Arial" w:hAnsi="Arial" w:cs="Arial"/>
          <w:sz w:val="24"/>
          <w:szCs w:val="24"/>
        </w:rPr>
        <w:t xml:space="preserve"> group = </w:t>
      </w:r>
      <w:r w:rsidR="00156526" w:rsidRPr="00033E83">
        <w:rPr>
          <w:rFonts w:ascii="Arial" w:hAnsi="Arial" w:cs="Arial"/>
          <w:sz w:val="24"/>
          <w:szCs w:val="24"/>
        </w:rPr>
        <w:t>UNIX DECOMM</w:t>
      </w:r>
    </w:p>
    <w:p w:rsidR="009577B0" w:rsidRPr="00033E83" w:rsidRDefault="00015D70" w:rsidP="00156526">
      <w:pPr>
        <w:pStyle w:val="ListParagraph"/>
        <w:numPr>
          <w:ilvl w:val="0"/>
          <w:numId w:val="5"/>
        </w:numPr>
        <w:spacing w:after="100" w:afterAutospacing="1" w:line="240" w:lineRule="auto"/>
        <w:rPr>
          <w:rFonts w:ascii="Arial" w:hAnsi="Arial" w:cs="Arial"/>
          <w:sz w:val="24"/>
          <w:szCs w:val="24"/>
        </w:rPr>
      </w:pPr>
      <w:r w:rsidRPr="00033E83">
        <w:rPr>
          <w:rFonts w:ascii="Arial" w:hAnsi="Arial" w:cs="Arial"/>
          <w:sz w:val="24"/>
          <w:szCs w:val="24"/>
        </w:rPr>
        <w:t>Relationship tab - Relate the affected asse</w:t>
      </w:r>
      <w:r w:rsidR="009577B0" w:rsidRPr="00033E83">
        <w:rPr>
          <w:rFonts w:ascii="Arial" w:hAnsi="Arial" w:cs="Arial"/>
          <w:sz w:val="24"/>
          <w:szCs w:val="24"/>
        </w:rPr>
        <w:t>ts</w:t>
      </w:r>
      <w:r w:rsidRPr="00033E83">
        <w:rPr>
          <w:rFonts w:ascii="Arial" w:hAnsi="Arial" w:cs="Arial"/>
          <w:sz w:val="24"/>
          <w:szCs w:val="24"/>
        </w:rPr>
        <w:t xml:space="preserve">, </w:t>
      </w:r>
      <w:r w:rsidR="00274464" w:rsidRPr="00033E83">
        <w:rPr>
          <w:rFonts w:ascii="Arial" w:hAnsi="Arial" w:cs="Arial"/>
          <w:sz w:val="24"/>
          <w:szCs w:val="24"/>
        </w:rPr>
        <w:t xml:space="preserve">i.e. </w:t>
      </w:r>
      <w:r w:rsidRPr="00033E83">
        <w:rPr>
          <w:rFonts w:ascii="Arial" w:hAnsi="Arial" w:cs="Arial"/>
          <w:sz w:val="24"/>
          <w:szCs w:val="24"/>
        </w:rPr>
        <w:t>server names and frame serial numbers</w:t>
      </w:r>
    </w:p>
    <w:p w:rsidR="00B07075" w:rsidRPr="00033E83" w:rsidRDefault="00B07075" w:rsidP="00156526">
      <w:pPr>
        <w:pStyle w:val="ListParagraph"/>
        <w:numPr>
          <w:ilvl w:val="0"/>
          <w:numId w:val="5"/>
        </w:numPr>
        <w:spacing w:after="100" w:afterAutospacing="1" w:line="240" w:lineRule="auto"/>
        <w:rPr>
          <w:rFonts w:ascii="Arial" w:hAnsi="Arial" w:cs="Arial"/>
          <w:sz w:val="24"/>
          <w:szCs w:val="24"/>
        </w:rPr>
      </w:pPr>
      <w:r w:rsidRPr="00033E83">
        <w:rPr>
          <w:rFonts w:ascii="Arial" w:hAnsi="Arial" w:cs="Arial"/>
          <w:sz w:val="24"/>
          <w:szCs w:val="24"/>
        </w:rPr>
        <w:t>Attachments</w:t>
      </w:r>
    </w:p>
    <w:p w:rsidR="00B07075" w:rsidRPr="00033E83" w:rsidRDefault="00B07075" w:rsidP="00015D70">
      <w:pPr>
        <w:pStyle w:val="ListParagraph"/>
        <w:numPr>
          <w:ilvl w:val="1"/>
          <w:numId w:val="5"/>
        </w:numPr>
        <w:spacing w:after="100" w:afterAutospacing="1" w:line="240" w:lineRule="auto"/>
        <w:ind w:left="1440"/>
        <w:rPr>
          <w:rFonts w:ascii="Arial" w:hAnsi="Arial" w:cs="Arial"/>
          <w:sz w:val="24"/>
          <w:szCs w:val="24"/>
        </w:rPr>
      </w:pPr>
      <w:r w:rsidRPr="00033E83">
        <w:rPr>
          <w:rFonts w:ascii="Arial" w:hAnsi="Arial" w:cs="Arial"/>
          <w:sz w:val="24"/>
          <w:szCs w:val="24"/>
        </w:rPr>
        <w:t>Decom form</w:t>
      </w:r>
    </w:p>
    <w:p w:rsidR="00B07075" w:rsidRPr="00033E83" w:rsidRDefault="00B07075" w:rsidP="00015D70">
      <w:pPr>
        <w:pStyle w:val="ListParagraph"/>
        <w:numPr>
          <w:ilvl w:val="1"/>
          <w:numId w:val="5"/>
        </w:numPr>
        <w:spacing w:after="100" w:afterAutospacing="1" w:line="240" w:lineRule="auto"/>
        <w:ind w:left="1440"/>
        <w:rPr>
          <w:rFonts w:ascii="Arial" w:hAnsi="Arial" w:cs="Arial"/>
          <w:sz w:val="24"/>
          <w:szCs w:val="24"/>
        </w:rPr>
      </w:pPr>
      <w:r w:rsidRPr="00033E83">
        <w:rPr>
          <w:rFonts w:ascii="Arial" w:hAnsi="Arial" w:cs="Arial"/>
          <w:sz w:val="24"/>
          <w:szCs w:val="24"/>
        </w:rPr>
        <w:t>Decom approval</w:t>
      </w:r>
    </w:p>
    <w:p w:rsidR="003E01C7" w:rsidRDefault="003E01C7" w:rsidP="003F77C1">
      <w:pPr>
        <w:spacing w:after="0" w:line="240" w:lineRule="auto"/>
        <w:rPr>
          <w:rFonts w:ascii="Arial" w:hAnsi="Arial" w:cs="Arial"/>
          <w:sz w:val="24"/>
          <w:szCs w:val="24"/>
        </w:rPr>
      </w:pPr>
      <w:r>
        <w:rPr>
          <w:rFonts w:ascii="Arial" w:hAnsi="Arial" w:cs="Arial"/>
          <w:sz w:val="24"/>
          <w:szCs w:val="24"/>
        </w:rPr>
        <w:t>Note:</w:t>
      </w:r>
    </w:p>
    <w:p w:rsidR="002E6E2A" w:rsidRPr="00033E83" w:rsidRDefault="003E01C7" w:rsidP="003F77C1">
      <w:pPr>
        <w:spacing w:after="0" w:line="240" w:lineRule="auto"/>
        <w:rPr>
          <w:rFonts w:ascii="Arial" w:hAnsi="Arial" w:cs="Arial"/>
          <w:sz w:val="24"/>
          <w:szCs w:val="24"/>
        </w:rPr>
      </w:pPr>
      <w:r>
        <w:rPr>
          <w:rFonts w:ascii="Arial" w:hAnsi="Arial" w:cs="Arial"/>
          <w:sz w:val="24"/>
          <w:szCs w:val="24"/>
        </w:rPr>
        <w:t>T</w:t>
      </w:r>
      <w:r w:rsidR="009577B0" w:rsidRPr="00033E83">
        <w:rPr>
          <w:rFonts w:ascii="Arial" w:hAnsi="Arial" w:cs="Arial"/>
          <w:sz w:val="24"/>
          <w:szCs w:val="24"/>
        </w:rPr>
        <w:t xml:space="preserve">he </w:t>
      </w:r>
      <w:r w:rsidR="002E6E2A" w:rsidRPr="00033E83">
        <w:rPr>
          <w:rFonts w:ascii="Arial" w:hAnsi="Arial" w:cs="Arial"/>
          <w:sz w:val="24"/>
          <w:szCs w:val="24"/>
        </w:rPr>
        <w:t>decommission</w:t>
      </w:r>
      <w:r w:rsidR="000D676B" w:rsidRPr="00033E83">
        <w:rPr>
          <w:rFonts w:ascii="Arial" w:hAnsi="Arial" w:cs="Arial"/>
          <w:sz w:val="24"/>
          <w:szCs w:val="24"/>
        </w:rPr>
        <w:t>ing</w:t>
      </w:r>
      <w:r w:rsidR="002E6E2A" w:rsidRPr="00033E83">
        <w:rPr>
          <w:rFonts w:ascii="Arial" w:hAnsi="Arial" w:cs="Arial"/>
          <w:sz w:val="24"/>
          <w:szCs w:val="24"/>
        </w:rPr>
        <w:t xml:space="preserve"> </w:t>
      </w:r>
      <w:r w:rsidR="00416D10">
        <w:rPr>
          <w:rFonts w:ascii="Arial" w:hAnsi="Arial" w:cs="Arial"/>
          <w:sz w:val="24"/>
          <w:szCs w:val="24"/>
        </w:rPr>
        <w:t xml:space="preserve">of the AIX </w:t>
      </w:r>
      <w:r w:rsidR="009577B0" w:rsidRPr="00033E83">
        <w:rPr>
          <w:rFonts w:ascii="Arial" w:hAnsi="Arial" w:cs="Arial"/>
          <w:sz w:val="24"/>
          <w:szCs w:val="24"/>
        </w:rPr>
        <w:t>frame that will require a power down.</w:t>
      </w:r>
      <w:r w:rsidR="002E6E2A" w:rsidRPr="00033E83">
        <w:rPr>
          <w:rFonts w:ascii="Arial" w:hAnsi="Arial" w:cs="Arial"/>
          <w:sz w:val="24"/>
          <w:szCs w:val="24"/>
        </w:rPr>
        <w:t xml:space="preserve"> </w:t>
      </w:r>
    </w:p>
    <w:p w:rsidR="00111998" w:rsidRPr="00033E83" w:rsidRDefault="00111998" w:rsidP="003F77C1">
      <w:pPr>
        <w:spacing w:after="0" w:line="240" w:lineRule="auto"/>
        <w:rPr>
          <w:rFonts w:ascii="Arial" w:hAnsi="Arial" w:cs="Arial"/>
          <w:sz w:val="24"/>
          <w:szCs w:val="24"/>
        </w:rPr>
      </w:pPr>
    </w:p>
    <w:p w:rsidR="002E6E2A" w:rsidRPr="003F77C1" w:rsidRDefault="002E6E2A" w:rsidP="00111998">
      <w:pPr>
        <w:spacing w:after="120" w:line="240" w:lineRule="auto"/>
        <w:ind w:left="720" w:hanging="360"/>
        <w:rPr>
          <w:rFonts w:ascii="Arial" w:hAnsi="Arial" w:cs="Arial"/>
        </w:rPr>
      </w:pPr>
    </w:p>
    <w:sectPr w:rsidR="002E6E2A" w:rsidRPr="003F77C1" w:rsidSect="00097AEF">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10" w:rsidRDefault="00222D10" w:rsidP="002E0099">
      <w:pPr>
        <w:spacing w:after="0" w:line="240" w:lineRule="auto"/>
      </w:pPr>
      <w:r>
        <w:separator/>
      </w:r>
    </w:p>
  </w:endnote>
  <w:endnote w:type="continuationSeparator" w:id="0">
    <w:p w:rsidR="00222D10" w:rsidRDefault="00222D10" w:rsidP="002E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57" w:rsidRDefault="002F3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57" w:rsidRDefault="002F39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57" w:rsidRDefault="002F3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10" w:rsidRDefault="00222D10" w:rsidP="002E0099">
      <w:pPr>
        <w:spacing w:after="0" w:line="240" w:lineRule="auto"/>
      </w:pPr>
      <w:r>
        <w:separator/>
      </w:r>
    </w:p>
  </w:footnote>
  <w:footnote w:type="continuationSeparator" w:id="0">
    <w:p w:rsidR="00222D10" w:rsidRDefault="00222D10" w:rsidP="002E0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57" w:rsidRDefault="002F3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57" w:rsidRDefault="002F39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57" w:rsidRDefault="002F3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5867"/>
    <w:multiLevelType w:val="hybridMultilevel"/>
    <w:tmpl w:val="DF8CA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755760"/>
    <w:multiLevelType w:val="hybridMultilevel"/>
    <w:tmpl w:val="A730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735FF"/>
    <w:multiLevelType w:val="hybridMultilevel"/>
    <w:tmpl w:val="31ECB3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B28CC"/>
    <w:multiLevelType w:val="hybridMultilevel"/>
    <w:tmpl w:val="9A146F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A47930"/>
    <w:multiLevelType w:val="hybridMultilevel"/>
    <w:tmpl w:val="FC7A8E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99"/>
    <w:rsid w:val="00015D70"/>
    <w:rsid w:val="00023437"/>
    <w:rsid w:val="00033E83"/>
    <w:rsid w:val="00087CF4"/>
    <w:rsid w:val="00097AEF"/>
    <w:rsid w:val="000A2BFF"/>
    <w:rsid w:val="000D676B"/>
    <w:rsid w:val="000F1626"/>
    <w:rsid w:val="00111998"/>
    <w:rsid w:val="00156526"/>
    <w:rsid w:val="001C7EC0"/>
    <w:rsid w:val="00222D10"/>
    <w:rsid w:val="002579DC"/>
    <w:rsid w:val="00274464"/>
    <w:rsid w:val="002D0D53"/>
    <w:rsid w:val="002E0099"/>
    <w:rsid w:val="002E6E2A"/>
    <w:rsid w:val="002F3957"/>
    <w:rsid w:val="00340B00"/>
    <w:rsid w:val="003C69FA"/>
    <w:rsid w:val="003E01C7"/>
    <w:rsid w:val="003F77C1"/>
    <w:rsid w:val="00416D10"/>
    <w:rsid w:val="00463639"/>
    <w:rsid w:val="00483833"/>
    <w:rsid w:val="0052537F"/>
    <w:rsid w:val="00552A41"/>
    <w:rsid w:val="005A4C9D"/>
    <w:rsid w:val="005F718D"/>
    <w:rsid w:val="006172DE"/>
    <w:rsid w:val="0062639A"/>
    <w:rsid w:val="007501B3"/>
    <w:rsid w:val="007B4D86"/>
    <w:rsid w:val="007B6304"/>
    <w:rsid w:val="00885746"/>
    <w:rsid w:val="00934CE7"/>
    <w:rsid w:val="009408FA"/>
    <w:rsid w:val="00955430"/>
    <w:rsid w:val="009577B0"/>
    <w:rsid w:val="00A12C7D"/>
    <w:rsid w:val="00A25897"/>
    <w:rsid w:val="00A7320F"/>
    <w:rsid w:val="00AA2968"/>
    <w:rsid w:val="00AE0417"/>
    <w:rsid w:val="00B05AFC"/>
    <w:rsid w:val="00B07075"/>
    <w:rsid w:val="00BC63FE"/>
    <w:rsid w:val="00BD0AF8"/>
    <w:rsid w:val="00BF04F3"/>
    <w:rsid w:val="00C370E6"/>
    <w:rsid w:val="00C640A7"/>
    <w:rsid w:val="00C730F4"/>
    <w:rsid w:val="00D72F95"/>
    <w:rsid w:val="00DC5C44"/>
    <w:rsid w:val="00E268C7"/>
    <w:rsid w:val="00E337C6"/>
    <w:rsid w:val="00E522D1"/>
    <w:rsid w:val="00F5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99"/>
  </w:style>
  <w:style w:type="paragraph" w:styleId="Footer">
    <w:name w:val="footer"/>
    <w:basedOn w:val="Normal"/>
    <w:link w:val="FooterChar"/>
    <w:uiPriority w:val="99"/>
    <w:unhideWhenUsed/>
    <w:rsid w:val="002E0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99"/>
  </w:style>
  <w:style w:type="paragraph" w:styleId="ListParagraph">
    <w:name w:val="List Paragraph"/>
    <w:basedOn w:val="Normal"/>
    <w:uiPriority w:val="34"/>
    <w:qFormat/>
    <w:rsid w:val="00B05AFC"/>
    <w:pPr>
      <w:ind w:left="720"/>
      <w:contextualSpacing/>
    </w:pPr>
  </w:style>
  <w:style w:type="paragraph" w:styleId="BalloonText">
    <w:name w:val="Balloon Text"/>
    <w:basedOn w:val="Normal"/>
    <w:link w:val="BalloonTextChar"/>
    <w:uiPriority w:val="99"/>
    <w:semiHidden/>
    <w:unhideWhenUsed/>
    <w:rsid w:val="00750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1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99"/>
  </w:style>
  <w:style w:type="paragraph" w:styleId="Footer">
    <w:name w:val="footer"/>
    <w:basedOn w:val="Normal"/>
    <w:link w:val="FooterChar"/>
    <w:uiPriority w:val="99"/>
    <w:unhideWhenUsed/>
    <w:rsid w:val="002E0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99"/>
  </w:style>
  <w:style w:type="paragraph" w:styleId="ListParagraph">
    <w:name w:val="List Paragraph"/>
    <w:basedOn w:val="Normal"/>
    <w:uiPriority w:val="34"/>
    <w:qFormat/>
    <w:rsid w:val="00B05AFC"/>
    <w:pPr>
      <w:ind w:left="720"/>
      <w:contextualSpacing/>
    </w:pPr>
  </w:style>
  <w:style w:type="paragraph" w:styleId="BalloonText">
    <w:name w:val="Balloon Text"/>
    <w:basedOn w:val="Normal"/>
    <w:link w:val="BalloonTextChar"/>
    <w:uiPriority w:val="99"/>
    <w:semiHidden/>
    <w:unhideWhenUsed/>
    <w:rsid w:val="00750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7655-D6B2-4A63-BD8B-487F591F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2016-04-29T03:46:00Z</dcterms:created>
  <dcterms:modified xsi:type="dcterms:W3CDTF">2017-08-07T00:30:00Z</dcterms:modified>
</cp:coreProperties>
</file>